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A167" w14:textId="77777777" w:rsidR="009D6EB5" w:rsidRDefault="009D6EB5" w:rsidP="00375EB2">
      <w:pPr>
        <w:spacing w:before="100" w:beforeAutospacing="1" w:after="100" w:afterAutospacing="1" w:line="240" w:lineRule="auto"/>
        <w:outlineLvl w:val="0"/>
        <w:rPr>
          <w:rFonts w:eastAsia="Times New Roman" w:cs="Times New Roman"/>
          <w:b/>
          <w:bCs/>
          <w:kern w:val="36"/>
          <w14:ligatures w14:val="none"/>
        </w:rPr>
      </w:pPr>
    </w:p>
    <w:p w14:paraId="36FE7C3A" w14:textId="60EB9565" w:rsidR="00375EB2" w:rsidRPr="00375EB2" w:rsidRDefault="0016433F" w:rsidP="00375EB2">
      <w:pPr>
        <w:spacing w:before="100" w:beforeAutospacing="1" w:after="100" w:afterAutospacing="1" w:line="240" w:lineRule="auto"/>
        <w:outlineLvl w:val="0"/>
        <w:rPr>
          <w:rFonts w:eastAsia="Times New Roman" w:cs="Times New Roman"/>
          <w:b/>
          <w:bCs/>
          <w:kern w:val="36"/>
          <w14:ligatures w14:val="none"/>
        </w:rPr>
      </w:pPr>
      <w:r>
        <w:rPr>
          <w:rFonts w:eastAsia="Times New Roman" w:cs="Times New Roman"/>
          <w:b/>
          <w:bCs/>
          <w:kern w:val="36"/>
          <w14:ligatures w14:val="none"/>
        </w:rPr>
        <w:t>National PRC Administration Requirements Update</w:t>
      </w:r>
      <w:r w:rsidR="00EE6CC1">
        <w:rPr>
          <w:rFonts w:eastAsia="Times New Roman" w:cs="Times New Roman"/>
          <w:b/>
          <w:bCs/>
          <w:kern w:val="36"/>
          <w14:ligatures w14:val="none"/>
        </w:rPr>
        <w:t xml:space="preserve"> (Peer Review) </w:t>
      </w:r>
    </w:p>
    <w:p w14:paraId="5BF09D94" w14:textId="77777777" w:rsidR="00375EB2" w:rsidRPr="00375EB2" w:rsidRDefault="00375EB2" w:rsidP="00375EB2">
      <w:pPr>
        <w:spacing w:before="100" w:beforeAutospacing="1" w:after="100" w:afterAutospacing="1" w:line="240" w:lineRule="auto"/>
        <w:outlineLvl w:val="1"/>
        <w:rPr>
          <w:rFonts w:eastAsia="Times New Roman" w:cs="Times New Roman"/>
          <w:b/>
          <w:bCs/>
          <w:kern w:val="0"/>
          <w:sz w:val="22"/>
          <w:szCs w:val="22"/>
          <w14:ligatures w14:val="none"/>
        </w:rPr>
      </w:pPr>
      <w:r w:rsidRPr="00375EB2">
        <w:rPr>
          <w:rFonts w:eastAsia="Times New Roman" w:cs="Times New Roman"/>
          <w:b/>
          <w:bCs/>
          <w:kern w:val="0"/>
          <w:sz w:val="22"/>
          <w:szCs w:val="22"/>
          <w14:ligatures w14:val="none"/>
        </w:rPr>
        <w:t>Frequently Asked Questions (FAQ)</w:t>
      </w:r>
    </w:p>
    <w:p w14:paraId="18F775DD" w14:textId="03AF1E68" w:rsidR="00280600" w:rsidRDefault="00280600" w:rsidP="00375EB2">
      <w:pPr>
        <w:spacing w:before="100" w:beforeAutospacing="1" w:after="100" w:afterAutospacing="1" w:line="240" w:lineRule="auto"/>
        <w:outlineLvl w:val="2"/>
        <w:rPr>
          <w:rFonts w:eastAsia="Times New Roman" w:cs="Times New Roman"/>
          <w:b/>
          <w:bCs/>
          <w:kern w:val="0"/>
          <w:sz w:val="22"/>
          <w:szCs w:val="22"/>
          <w14:ligatures w14:val="none"/>
        </w:rPr>
      </w:pPr>
      <w:r w:rsidRPr="00280600">
        <w:rPr>
          <w:rFonts w:eastAsia="Times New Roman" w:cs="Times New Roman"/>
          <w:b/>
          <w:bCs/>
          <w:kern w:val="0"/>
          <w:sz w:val="22"/>
          <w:szCs w:val="22"/>
          <w14:ligatures w14:val="none"/>
        </w:rPr>
        <w:t>What change was approved related to the administration of system reviews?</w:t>
      </w:r>
    </w:p>
    <w:p w14:paraId="27BAC977" w14:textId="42D4C301" w:rsidR="001546E8" w:rsidRPr="001546E8" w:rsidRDefault="00280600" w:rsidP="001546E8">
      <w:pPr>
        <w:pStyle w:val="FirstParagraph"/>
        <w:rPr>
          <w:rFonts w:eastAsia="Times New Roman" w:cs="Times New Roman"/>
          <w:sz w:val="22"/>
          <w:szCs w:val="22"/>
        </w:rPr>
      </w:pPr>
      <w:r w:rsidRPr="00280600">
        <w:rPr>
          <w:rFonts w:eastAsia="Times New Roman" w:cs="Times New Roman"/>
          <w:sz w:val="22"/>
          <w:szCs w:val="22"/>
        </w:rPr>
        <w:t>On February 11, 2026, the AICPA Peer Review Board approved a new requirement affecting the administration of certain system reviews. Under this requirement, firms that are closely aligned with a non-CPA entity (i.e., an alternative practice structure) must have their system review administered by the National Peer Review Committee (PRC) rather than by a state administering entity.</w:t>
      </w:r>
    </w:p>
    <w:p w14:paraId="1B60CE4A" w14:textId="77777777" w:rsidR="001546E8" w:rsidRDefault="00280600" w:rsidP="001546E8">
      <w:pPr>
        <w:spacing w:before="100" w:beforeAutospacing="1" w:after="100" w:afterAutospacing="1" w:line="240" w:lineRule="auto"/>
        <w:outlineLvl w:val="2"/>
        <w:rPr>
          <w:rFonts w:eastAsia="Times New Roman" w:cs="Times New Roman"/>
          <w:b/>
          <w:bCs/>
          <w:kern w:val="0"/>
          <w:sz w:val="22"/>
          <w:szCs w:val="22"/>
          <w14:ligatures w14:val="none"/>
        </w:rPr>
      </w:pPr>
      <w:r w:rsidRPr="00280600">
        <w:rPr>
          <w:rFonts w:eastAsia="Times New Roman" w:cs="Times New Roman"/>
          <w:b/>
          <w:bCs/>
          <w:kern w:val="0"/>
          <w:sz w:val="22"/>
          <w:szCs w:val="22"/>
          <w14:ligatures w14:val="none"/>
        </w:rPr>
        <w:t>What is an alternative practice structure (APS)?</w:t>
      </w:r>
    </w:p>
    <w:p w14:paraId="0EC0D04E" w14:textId="08901ACD" w:rsidR="001546E8" w:rsidRPr="001546E8" w:rsidRDefault="00280600" w:rsidP="001546E8">
      <w:pPr>
        <w:spacing w:before="100" w:beforeAutospacing="1" w:after="100" w:afterAutospacing="1" w:line="240" w:lineRule="auto"/>
        <w:outlineLvl w:val="2"/>
        <w:rPr>
          <w:rFonts w:eastAsia="Times New Roman" w:cs="Times New Roman"/>
          <w:b/>
          <w:bCs/>
          <w:kern w:val="0"/>
          <w:sz w:val="22"/>
          <w:szCs w:val="22"/>
          <w14:ligatures w14:val="none"/>
        </w:rPr>
      </w:pPr>
      <w:r w:rsidRPr="00280600">
        <w:rPr>
          <w:rFonts w:eastAsia="Times New Roman" w:cs="Times New Roman"/>
          <w:sz w:val="22"/>
          <w:szCs w:val="22"/>
        </w:rPr>
        <w:t>An alternative practice structure generally exists when a CPA firm is closely aligned with a non-CPA entity. This may include shared ownership, management, branding, operations, or economic interests. Firms are responsible for evaluating their own structure and accurately disclosing APS status on their Peer Review Information (PRI).</w:t>
      </w:r>
    </w:p>
    <w:p w14:paraId="6F6C4D61" w14:textId="43CF9CD8" w:rsidR="00280600" w:rsidRDefault="00280600" w:rsidP="00280600">
      <w:pPr>
        <w:pStyle w:val="BodyText"/>
        <w:rPr>
          <w:rFonts w:eastAsia="Times New Roman" w:cs="Times New Roman"/>
          <w:b/>
          <w:bCs/>
          <w:kern w:val="0"/>
          <w:sz w:val="22"/>
          <w:szCs w:val="22"/>
          <w14:ligatures w14:val="none"/>
        </w:rPr>
      </w:pPr>
      <w:r w:rsidRPr="00280600">
        <w:rPr>
          <w:rFonts w:eastAsia="Times New Roman" w:cs="Times New Roman"/>
          <w:b/>
          <w:bCs/>
          <w:kern w:val="0"/>
          <w:sz w:val="22"/>
          <w:szCs w:val="22"/>
          <w14:ligatures w14:val="none"/>
        </w:rPr>
        <w:t>Which firms are impacted by this requirement?</w:t>
      </w:r>
    </w:p>
    <w:p w14:paraId="66B5103B" w14:textId="07F6B9BD" w:rsidR="00280600" w:rsidRPr="00280600" w:rsidRDefault="00280600" w:rsidP="00280600">
      <w:pPr>
        <w:pStyle w:val="FirstParagraph"/>
        <w:rPr>
          <w:rFonts w:eastAsia="Times New Roman" w:cs="Times New Roman"/>
          <w:sz w:val="22"/>
          <w:szCs w:val="22"/>
        </w:rPr>
      </w:pPr>
      <w:proofErr w:type="gramStart"/>
      <w:r w:rsidRPr="00280600">
        <w:rPr>
          <w:rFonts w:eastAsia="Times New Roman" w:cs="Times New Roman"/>
          <w:sz w:val="22"/>
          <w:szCs w:val="22"/>
        </w:rPr>
        <w:t>At this time</w:t>
      </w:r>
      <w:proofErr w:type="gramEnd"/>
      <w:r w:rsidRPr="00280600">
        <w:rPr>
          <w:rFonts w:eastAsia="Times New Roman" w:cs="Times New Roman"/>
          <w:sz w:val="22"/>
          <w:szCs w:val="22"/>
        </w:rPr>
        <w:t xml:space="preserve">, only firms that meet </w:t>
      </w:r>
      <w:r w:rsidRPr="00280600">
        <w:rPr>
          <w:rFonts w:eastAsia="Times New Roman" w:cs="Times New Roman"/>
          <w:b/>
          <w:bCs/>
          <w:sz w:val="22"/>
          <w:szCs w:val="22"/>
        </w:rPr>
        <w:t>both of the following situations</w:t>
      </w:r>
      <w:r w:rsidRPr="00280600">
        <w:rPr>
          <w:rFonts w:eastAsia="Times New Roman" w:cs="Times New Roman"/>
          <w:sz w:val="22"/>
          <w:szCs w:val="22"/>
        </w:rPr>
        <w:t xml:space="preserve"> are </w:t>
      </w:r>
      <w:r>
        <w:rPr>
          <w:rFonts w:eastAsia="Times New Roman" w:cs="Times New Roman"/>
          <w:sz w:val="22"/>
          <w:szCs w:val="22"/>
        </w:rPr>
        <w:t>subject to this requirement</w:t>
      </w:r>
      <w:r w:rsidRPr="00280600">
        <w:rPr>
          <w:rFonts w:eastAsia="Times New Roman" w:cs="Times New Roman"/>
          <w:sz w:val="22"/>
          <w:szCs w:val="22"/>
        </w:rPr>
        <w:t>:</w:t>
      </w:r>
    </w:p>
    <w:p w14:paraId="4B3CA17E" w14:textId="77777777" w:rsidR="00280600" w:rsidRPr="00280600" w:rsidRDefault="00280600" w:rsidP="00280600">
      <w:pPr>
        <w:pStyle w:val="FirstParagraph"/>
        <w:numPr>
          <w:ilvl w:val="0"/>
          <w:numId w:val="11"/>
        </w:numPr>
        <w:rPr>
          <w:rFonts w:eastAsia="Times New Roman" w:cs="Times New Roman"/>
          <w:sz w:val="22"/>
          <w:szCs w:val="22"/>
        </w:rPr>
      </w:pPr>
      <w:r w:rsidRPr="00280600">
        <w:rPr>
          <w:rFonts w:eastAsia="Times New Roman" w:cs="Times New Roman"/>
          <w:sz w:val="22"/>
          <w:szCs w:val="22"/>
        </w:rPr>
        <w:t xml:space="preserve">Qualify as an alternative practice structure (APS), </w:t>
      </w:r>
      <w:r w:rsidRPr="00280600">
        <w:rPr>
          <w:rFonts w:eastAsia="Times New Roman" w:cs="Times New Roman"/>
          <w:b/>
          <w:bCs/>
          <w:sz w:val="22"/>
          <w:szCs w:val="22"/>
        </w:rPr>
        <w:t>and</w:t>
      </w:r>
    </w:p>
    <w:p w14:paraId="700C347D" w14:textId="77777777" w:rsidR="00280600" w:rsidRPr="00280600" w:rsidRDefault="00280600" w:rsidP="00280600">
      <w:pPr>
        <w:pStyle w:val="FirstParagraph"/>
        <w:numPr>
          <w:ilvl w:val="0"/>
          <w:numId w:val="11"/>
        </w:numPr>
        <w:rPr>
          <w:rFonts w:eastAsia="Times New Roman" w:cs="Times New Roman"/>
          <w:sz w:val="22"/>
          <w:szCs w:val="22"/>
        </w:rPr>
      </w:pPr>
      <w:r w:rsidRPr="00280600">
        <w:rPr>
          <w:rFonts w:eastAsia="Times New Roman" w:cs="Times New Roman"/>
          <w:sz w:val="22"/>
          <w:szCs w:val="22"/>
        </w:rPr>
        <w:t>Undergo a system review</w:t>
      </w:r>
    </w:p>
    <w:p w14:paraId="3256B118" w14:textId="4D948843" w:rsidR="001546E8" w:rsidRPr="001546E8" w:rsidRDefault="00280600" w:rsidP="00280600">
      <w:pPr>
        <w:pStyle w:val="BodyText"/>
        <w:rPr>
          <w:rFonts w:eastAsia="Times New Roman" w:cs="Times New Roman"/>
          <w:kern w:val="0"/>
          <w:sz w:val="22"/>
          <w:szCs w:val="22"/>
          <w14:ligatures w14:val="none"/>
        </w:rPr>
      </w:pPr>
      <w:r w:rsidRPr="00280600">
        <w:rPr>
          <w:rFonts w:eastAsia="Times New Roman" w:cs="Times New Roman"/>
          <w:kern w:val="0"/>
          <w:sz w:val="22"/>
          <w:szCs w:val="22"/>
          <w14:ligatures w14:val="none"/>
        </w:rPr>
        <w:t>Firms undergoing engagement reviews are not impacted.</w:t>
      </w:r>
    </w:p>
    <w:p w14:paraId="607D26D1" w14:textId="77777777" w:rsidR="001546E8" w:rsidRDefault="001546E8" w:rsidP="00280600">
      <w:pPr>
        <w:pStyle w:val="BodyText"/>
        <w:rPr>
          <w:rFonts w:eastAsia="Times New Roman" w:cs="Times New Roman"/>
          <w:b/>
          <w:bCs/>
          <w:kern w:val="0"/>
          <w:sz w:val="22"/>
          <w:szCs w:val="22"/>
          <w14:ligatures w14:val="none"/>
        </w:rPr>
      </w:pPr>
    </w:p>
    <w:p w14:paraId="7E885B1E" w14:textId="563C4057" w:rsidR="00280600" w:rsidRDefault="001546E8" w:rsidP="00280600">
      <w:pPr>
        <w:pStyle w:val="BodyText"/>
        <w:rPr>
          <w:rFonts w:eastAsia="Times New Roman" w:cs="Times New Roman"/>
          <w:b/>
          <w:bCs/>
          <w:kern w:val="0"/>
          <w:sz w:val="22"/>
          <w:szCs w:val="22"/>
          <w14:ligatures w14:val="none"/>
        </w:rPr>
      </w:pPr>
      <w:r w:rsidRPr="001546E8">
        <w:rPr>
          <w:rFonts w:eastAsia="Times New Roman" w:cs="Times New Roman"/>
          <w:b/>
          <w:bCs/>
          <w:kern w:val="0"/>
          <w:sz w:val="22"/>
          <w:szCs w:val="22"/>
          <w14:ligatures w14:val="none"/>
        </w:rPr>
        <w:t>When does the new requirement take effect?</w:t>
      </w:r>
    </w:p>
    <w:p w14:paraId="62D9D019" w14:textId="446FC442" w:rsidR="001546E8" w:rsidRPr="00B46CF5" w:rsidRDefault="001546E8" w:rsidP="00B46CF5">
      <w:pPr>
        <w:pStyle w:val="FirstParagraph"/>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The requirement applies to system reviews scheduled on or after </w:t>
      </w:r>
      <w:r w:rsidRPr="00B46CF5">
        <w:rPr>
          <w:rFonts w:eastAsia="Times New Roman" w:cs="Times New Roman"/>
          <w:b/>
          <w:bCs/>
          <w:kern w:val="2"/>
          <w:sz w:val="22"/>
          <w:szCs w:val="22"/>
          <w14:ligatures w14:val="standardContextual"/>
        </w:rPr>
        <w:t>February 28, 2026</w:t>
      </w:r>
      <w:r w:rsidRPr="00B46CF5">
        <w:rPr>
          <w:rFonts w:eastAsia="Times New Roman" w:cs="Times New Roman"/>
          <w:kern w:val="2"/>
          <w:sz w:val="22"/>
          <w:szCs w:val="22"/>
          <w14:ligatures w14:val="standardContextual"/>
        </w:rPr>
        <w:t>.</w:t>
      </w:r>
    </w:p>
    <w:p w14:paraId="4E816A21" w14:textId="77777777" w:rsidR="00B46CF5" w:rsidRDefault="00B46CF5" w:rsidP="00B46CF5">
      <w:pPr>
        <w:pStyle w:val="BodyText"/>
      </w:pPr>
    </w:p>
    <w:p w14:paraId="5D2FE6D2" w14:textId="09F39B6D" w:rsidR="00B46CF5" w:rsidRDefault="00B46CF5" w:rsidP="00B46CF5">
      <w:pPr>
        <w:pStyle w:val="BodyText"/>
        <w:rPr>
          <w:rFonts w:eastAsia="Times New Roman" w:cs="Times New Roman"/>
          <w:b/>
          <w:bCs/>
          <w:kern w:val="0"/>
          <w:sz w:val="22"/>
          <w:szCs w:val="22"/>
          <w14:ligatures w14:val="none"/>
        </w:rPr>
      </w:pPr>
      <w:r w:rsidRPr="00B46CF5">
        <w:rPr>
          <w:rFonts w:eastAsia="Times New Roman" w:cs="Times New Roman"/>
          <w:b/>
          <w:bCs/>
          <w:kern w:val="0"/>
          <w:sz w:val="22"/>
          <w:szCs w:val="22"/>
          <w14:ligatures w14:val="none"/>
        </w:rPr>
        <w:t>How does this affect firms with system reviews already scheduled or in progress?</w:t>
      </w:r>
    </w:p>
    <w:p w14:paraId="3DF238B3" w14:textId="1E7AF14C" w:rsidR="00B46CF5" w:rsidRDefault="00B46CF5" w:rsidP="00B46CF5">
      <w:pPr>
        <w:pStyle w:val="FirstParagraph"/>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System reviews scheduled before February 28, 2026</w:t>
      </w:r>
      <w:r>
        <w:rPr>
          <w:rFonts w:eastAsia="Times New Roman" w:cs="Times New Roman"/>
          <w:kern w:val="2"/>
          <w:sz w:val="22"/>
          <w:szCs w:val="22"/>
          <w14:ligatures w14:val="standardContextual"/>
        </w:rPr>
        <w:t>,</w:t>
      </w:r>
      <w:r w:rsidRPr="00B46CF5">
        <w:rPr>
          <w:rFonts w:eastAsia="Times New Roman" w:cs="Times New Roman"/>
          <w:kern w:val="2"/>
          <w:sz w:val="22"/>
          <w:szCs w:val="22"/>
          <w14:ligatures w14:val="standardContextual"/>
        </w:rPr>
        <w:t xml:space="preserve"> are not impacted. Reviews scheduled on or after that date may be subject to this requirement if the firm qualifies as an APS.</w:t>
      </w:r>
    </w:p>
    <w:p w14:paraId="084CCA8E" w14:textId="77777777" w:rsidR="00B46CF5" w:rsidRDefault="00B46CF5" w:rsidP="00B46CF5">
      <w:pPr>
        <w:pStyle w:val="BodyText"/>
      </w:pPr>
    </w:p>
    <w:p w14:paraId="669CCABF" w14:textId="77777777" w:rsidR="000A1042" w:rsidRPr="00350235" w:rsidRDefault="000A1042" w:rsidP="000A1042">
      <w:pPr>
        <w:pStyle w:val="BodyText"/>
        <w:rPr>
          <w:rFonts w:eastAsia="Times New Roman" w:cs="Times New Roman"/>
          <w:b/>
          <w:bCs/>
          <w:kern w:val="0"/>
          <w:sz w:val="22"/>
          <w:szCs w:val="22"/>
          <w14:ligatures w14:val="none"/>
        </w:rPr>
      </w:pPr>
      <w:r w:rsidRPr="00350235">
        <w:rPr>
          <w:rFonts w:eastAsia="Times New Roman" w:cs="Times New Roman"/>
          <w:b/>
          <w:bCs/>
          <w:kern w:val="0"/>
          <w:sz w:val="22"/>
          <w:szCs w:val="22"/>
          <w14:ligatures w14:val="none"/>
        </w:rPr>
        <w:t>Is this a permanent change or a temporary measure?</w:t>
      </w:r>
    </w:p>
    <w:p w14:paraId="281AE857" w14:textId="77777777" w:rsidR="000A1042" w:rsidRPr="00350235" w:rsidRDefault="000A1042" w:rsidP="000A1042">
      <w:pPr>
        <w:pStyle w:val="FirstParagraph"/>
        <w:rPr>
          <w:rFonts w:eastAsia="Times New Roman" w:cs="Times New Roman"/>
          <w:sz w:val="22"/>
          <w:szCs w:val="22"/>
        </w:rPr>
      </w:pPr>
      <w:r w:rsidRPr="00350235">
        <w:rPr>
          <w:rFonts w:eastAsia="Times New Roman" w:cs="Times New Roman"/>
          <w:sz w:val="22"/>
          <w:szCs w:val="22"/>
        </w:rPr>
        <w:t>The AICPA has indicated this is intended to be a temporary measure, to be evaluated at least annually, and has stated</w:t>
      </w:r>
      <w:r>
        <w:rPr>
          <w:rFonts w:eastAsia="Times New Roman" w:cs="Times New Roman"/>
          <w:sz w:val="22"/>
          <w:szCs w:val="22"/>
        </w:rPr>
        <w:t xml:space="preserve"> </w:t>
      </w:r>
      <w:r w:rsidRPr="00350235">
        <w:rPr>
          <w:rFonts w:eastAsia="Times New Roman" w:cs="Times New Roman"/>
          <w:sz w:val="22"/>
          <w:szCs w:val="22"/>
        </w:rPr>
        <w:t>they hope the requirement will be in effect for no more than one year.</w:t>
      </w:r>
    </w:p>
    <w:p w14:paraId="0ED8FFA0" w14:textId="77777777" w:rsidR="00E259B9" w:rsidRDefault="00E259B9" w:rsidP="00B46CF5">
      <w:pPr>
        <w:pStyle w:val="BodyText"/>
        <w:rPr>
          <w:rFonts w:eastAsia="Times New Roman" w:cs="Times New Roman"/>
          <w:b/>
          <w:bCs/>
          <w:kern w:val="0"/>
          <w:sz w:val="22"/>
          <w:szCs w:val="22"/>
          <w14:ligatures w14:val="none"/>
        </w:rPr>
      </w:pPr>
    </w:p>
    <w:p w14:paraId="6D8EBB0D" w14:textId="71282AAA" w:rsidR="00B46CF5" w:rsidRDefault="00B46CF5" w:rsidP="00B46CF5">
      <w:pPr>
        <w:pStyle w:val="BodyText"/>
        <w:rPr>
          <w:rFonts w:eastAsia="Times New Roman" w:cs="Times New Roman"/>
          <w:b/>
          <w:bCs/>
          <w:kern w:val="0"/>
          <w:sz w:val="22"/>
          <w:szCs w:val="22"/>
          <w14:ligatures w14:val="none"/>
        </w:rPr>
      </w:pPr>
      <w:r w:rsidRPr="00B46CF5">
        <w:rPr>
          <w:rFonts w:eastAsia="Times New Roman" w:cs="Times New Roman"/>
          <w:b/>
          <w:bCs/>
          <w:kern w:val="0"/>
          <w:sz w:val="22"/>
          <w:szCs w:val="22"/>
          <w14:ligatures w14:val="none"/>
        </w:rPr>
        <w:t>How do I know if my firm falls under an alternative practice structure (APS)?</w:t>
      </w:r>
    </w:p>
    <w:p w14:paraId="107696A5" w14:textId="77777777" w:rsidR="00B46CF5" w:rsidRPr="00B46CF5" w:rsidRDefault="00B46CF5" w:rsidP="00B46CF5">
      <w:pPr>
        <w:pStyle w:val="FirstParagraph"/>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A firm may fall under an alternative practice structure if it is closely aligned with a non-CPA entity. While the specific criteria are defined by the AICPA, firms should consider whether any of the following apply: </w:t>
      </w:r>
    </w:p>
    <w:p w14:paraId="307DFCBA" w14:textId="77777777" w:rsidR="00B46CF5" w:rsidRPr="00B46CF5" w:rsidRDefault="00B46CF5" w:rsidP="00B46CF5">
      <w:pPr>
        <w:pStyle w:val="FirstParagraph"/>
        <w:numPr>
          <w:ilvl w:val="0"/>
          <w:numId w:val="12"/>
        </w:numPr>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Common ownership or control between the CPA firm and a non-CPA entity </w:t>
      </w:r>
    </w:p>
    <w:p w14:paraId="6C553BAB" w14:textId="77777777" w:rsidR="00B46CF5" w:rsidRPr="00B46CF5" w:rsidRDefault="00B46CF5" w:rsidP="00B46CF5">
      <w:pPr>
        <w:pStyle w:val="FirstParagraph"/>
        <w:numPr>
          <w:ilvl w:val="0"/>
          <w:numId w:val="12"/>
        </w:numPr>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Shared management, employees, or operational infrastructure</w:t>
      </w:r>
    </w:p>
    <w:p w14:paraId="1CDEEFA2" w14:textId="77777777" w:rsidR="00B46CF5" w:rsidRPr="00B46CF5" w:rsidRDefault="00B46CF5" w:rsidP="00B46CF5">
      <w:pPr>
        <w:pStyle w:val="FirstParagraph"/>
        <w:numPr>
          <w:ilvl w:val="0"/>
          <w:numId w:val="12"/>
        </w:numPr>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Shared branding, marketing, or public-facing identity </w:t>
      </w:r>
    </w:p>
    <w:p w14:paraId="2F9BCB88" w14:textId="77777777" w:rsidR="00B46CF5" w:rsidRPr="00B46CF5" w:rsidRDefault="00B46CF5" w:rsidP="00B46CF5">
      <w:pPr>
        <w:pStyle w:val="FirstParagraph"/>
        <w:numPr>
          <w:ilvl w:val="0"/>
          <w:numId w:val="12"/>
        </w:numPr>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Shared revenues, expenses, or economic interests </w:t>
      </w:r>
    </w:p>
    <w:p w14:paraId="06DBE44C" w14:textId="77777777" w:rsidR="00B46CF5" w:rsidRPr="00B46CF5" w:rsidRDefault="00B46CF5" w:rsidP="00B46CF5">
      <w:pPr>
        <w:pStyle w:val="FirstParagraph"/>
        <w:numPr>
          <w:ilvl w:val="0"/>
          <w:numId w:val="12"/>
        </w:numPr>
        <w:rPr>
          <w:rFonts w:eastAsia="Times New Roman" w:cs="Times New Roman"/>
          <w:kern w:val="2"/>
          <w:sz w:val="22"/>
          <w:szCs w:val="22"/>
          <w14:ligatures w14:val="standardContextual"/>
        </w:rPr>
      </w:pPr>
      <w:r w:rsidRPr="00B46CF5">
        <w:rPr>
          <w:rFonts w:eastAsia="Times New Roman" w:cs="Times New Roman"/>
          <w:kern w:val="2"/>
          <w:sz w:val="22"/>
          <w:szCs w:val="22"/>
          <w14:ligatures w14:val="standardContextual"/>
        </w:rPr>
        <w:t xml:space="preserve"> A non-CPA entity that influences the firm’s operations or decision-making</w:t>
      </w:r>
    </w:p>
    <w:p w14:paraId="3CD1DA74" w14:textId="788789D0" w:rsidR="00B46CF5" w:rsidRDefault="00B46CF5" w:rsidP="00B46CF5">
      <w:pPr>
        <w:pStyle w:val="BodyText"/>
        <w:rPr>
          <w:rFonts w:eastAsia="Times New Roman" w:cs="Times New Roman"/>
          <w:sz w:val="22"/>
          <w:szCs w:val="22"/>
        </w:rPr>
      </w:pPr>
      <w:r w:rsidRPr="00B46CF5">
        <w:rPr>
          <w:rFonts w:eastAsia="Times New Roman" w:cs="Times New Roman"/>
          <w:sz w:val="22"/>
          <w:szCs w:val="22"/>
        </w:rPr>
        <w:t xml:space="preserve">Firms should evaluate the totality of their structure when answering the APS question on the PRI. For background on how the AICPA is defining and considering APS, please see the AICPA’s exposure draft on </w:t>
      </w:r>
      <w:hyperlink r:id="rId10" w:history="1">
        <w:r w:rsidRPr="00B46CF5">
          <w:rPr>
            <w:rStyle w:val="Hyperlink"/>
            <w:rFonts w:eastAsia="Times New Roman" w:cs="Times New Roman"/>
            <w:sz w:val="22"/>
            <w:szCs w:val="22"/>
          </w:rPr>
          <w:t>Alternative Practice Structures in the Code of Professional Conduct</w:t>
        </w:r>
      </w:hyperlink>
      <w:r w:rsidRPr="00B46CF5">
        <w:rPr>
          <w:rFonts w:eastAsia="Times New Roman" w:cs="Times New Roman"/>
          <w:sz w:val="22"/>
          <w:szCs w:val="22"/>
        </w:rPr>
        <w:t xml:space="preserve">. </w:t>
      </w:r>
    </w:p>
    <w:p w14:paraId="37D6C2B2" w14:textId="77777777" w:rsidR="00B46CF5" w:rsidRDefault="00B46CF5" w:rsidP="00B46CF5">
      <w:pPr>
        <w:pStyle w:val="BodyText"/>
        <w:rPr>
          <w:rFonts w:eastAsia="Times New Roman" w:cs="Times New Roman"/>
          <w:sz w:val="22"/>
          <w:szCs w:val="22"/>
        </w:rPr>
      </w:pPr>
    </w:p>
    <w:p w14:paraId="77ED9568" w14:textId="1C807C72" w:rsidR="00B46CF5" w:rsidRPr="00E259B9" w:rsidRDefault="00E259B9" w:rsidP="00B46CF5">
      <w:pPr>
        <w:pStyle w:val="BodyText"/>
        <w:rPr>
          <w:rFonts w:eastAsia="Times New Roman" w:cs="Times New Roman"/>
          <w:b/>
          <w:bCs/>
          <w:kern w:val="0"/>
          <w:sz w:val="22"/>
          <w:szCs w:val="22"/>
          <w14:ligatures w14:val="none"/>
        </w:rPr>
      </w:pPr>
      <w:r w:rsidRPr="00E259B9">
        <w:rPr>
          <w:rFonts w:eastAsia="Times New Roman" w:cs="Times New Roman"/>
          <w:b/>
          <w:bCs/>
          <w:kern w:val="0"/>
          <w:sz w:val="22"/>
          <w:szCs w:val="22"/>
          <w14:ligatures w14:val="none"/>
        </w:rPr>
        <w:t>Who can I contact if I’m unsure whether my firm falls under an alternative practice structure (APS)?</w:t>
      </w:r>
    </w:p>
    <w:p w14:paraId="5435AE68" w14:textId="15C6E296" w:rsidR="00E259B9" w:rsidRDefault="007A1C5D" w:rsidP="00B46CF5">
      <w:pPr>
        <w:pStyle w:val="BodyText"/>
        <w:rPr>
          <w:rFonts w:eastAsia="Times New Roman" w:cs="Times New Roman"/>
          <w:kern w:val="0"/>
          <w:sz w:val="22"/>
          <w:szCs w:val="22"/>
          <w14:ligatures w14:val="none"/>
        </w:rPr>
      </w:pPr>
      <w:r>
        <w:rPr>
          <w:rFonts w:eastAsia="Times New Roman" w:cs="Times New Roman"/>
          <w:kern w:val="0"/>
          <w:sz w:val="22"/>
          <w:szCs w:val="22"/>
          <w14:ligatures w14:val="none"/>
        </w:rPr>
        <w:t>If you are unsure whether your firm qualifies as an APS, please contact the AICPA Peer Review Program at 919</w:t>
      </w:r>
      <w:r w:rsidR="00061244">
        <w:rPr>
          <w:rFonts w:eastAsia="Times New Roman" w:cs="Times New Roman"/>
          <w:kern w:val="0"/>
          <w:sz w:val="22"/>
          <w:szCs w:val="22"/>
          <w14:ligatures w14:val="none"/>
        </w:rPr>
        <w:t>-</w:t>
      </w:r>
      <w:r>
        <w:rPr>
          <w:rFonts w:eastAsia="Times New Roman" w:cs="Times New Roman"/>
          <w:kern w:val="0"/>
          <w:sz w:val="22"/>
          <w:szCs w:val="22"/>
          <w14:ligatures w14:val="none"/>
        </w:rPr>
        <w:t>402</w:t>
      </w:r>
      <w:r w:rsidR="00061244">
        <w:rPr>
          <w:rFonts w:eastAsia="Times New Roman" w:cs="Times New Roman"/>
          <w:kern w:val="0"/>
          <w:sz w:val="22"/>
          <w:szCs w:val="22"/>
          <w14:ligatures w14:val="none"/>
        </w:rPr>
        <w:t xml:space="preserve">-4502 or via email at </w:t>
      </w:r>
      <w:hyperlink r:id="rId11" w:history="1">
        <w:r w:rsidR="00061244" w:rsidRPr="00B36D32">
          <w:rPr>
            <w:rStyle w:val="Hyperlink"/>
            <w:rFonts w:eastAsia="Times New Roman" w:cs="Times New Roman"/>
            <w:kern w:val="0"/>
            <w:sz w:val="22"/>
            <w:szCs w:val="22"/>
            <w14:ligatures w14:val="none"/>
          </w:rPr>
          <w:t>prsupport@aicpa.org</w:t>
        </w:r>
      </w:hyperlink>
      <w:r w:rsidR="00061244">
        <w:rPr>
          <w:rFonts w:eastAsia="Times New Roman" w:cs="Times New Roman"/>
          <w:kern w:val="0"/>
          <w:sz w:val="22"/>
          <w:szCs w:val="22"/>
          <w14:ligatures w14:val="none"/>
        </w:rPr>
        <w:t xml:space="preserve"> for guidance. </w:t>
      </w:r>
    </w:p>
    <w:p w14:paraId="620820D8" w14:textId="77777777" w:rsidR="00E259B9" w:rsidRDefault="00E259B9" w:rsidP="00B46CF5">
      <w:pPr>
        <w:pStyle w:val="BodyText"/>
        <w:rPr>
          <w:rFonts w:eastAsia="Times New Roman" w:cs="Times New Roman"/>
          <w:kern w:val="0"/>
          <w:sz w:val="22"/>
          <w:szCs w:val="22"/>
          <w14:ligatures w14:val="none"/>
        </w:rPr>
      </w:pPr>
    </w:p>
    <w:p w14:paraId="63D0F46B" w14:textId="623D9698" w:rsidR="00350235" w:rsidRDefault="00350235" w:rsidP="00B46CF5">
      <w:pPr>
        <w:pStyle w:val="BodyText"/>
        <w:rPr>
          <w:rFonts w:eastAsia="Times New Roman" w:cs="Times New Roman"/>
          <w:b/>
          <w:bCs/>
          <w:kern w:val="0"/>
          <w:sz w:val="22"/>
          <w:szCs w:val="22"/>
          <w14:ligatures w14:val="none"/>
        </w:rPr>
      </w:pPr>
      <w:r w:rsidRPr="00350235">
        <w:rPr>
          <w:rFonts w:eastAsia="Times New Roman" w:cs="Times New Roman"/>
          <w:b/>
          <w:bCs/>
          <w:kern w:val="0"/>
          <w:sz w:val="22"/>
          <w:szCs w:val="22"/>
          <w14:ligatures w14:val="none"/>
        </w:rPr>
        <w:t>What if a firm left the APS question blank on the PRI or answered it incorrectly?</w:t>
      </w:r>
    </w:p>
    <w:p w14:paraId="13637417" w14:textId="7A7BD808" w:rsidR="00350235" w:rsidRPr="00350235" w:rsidRDefault="00350235" w:rsidP="00B46CF5">
      <w:pPr>
        <w:pStyle w:val="BodyText"/>
        <w:rPr>
          <w:rFonts w:eastAsia="Times New Roman" w:cs="Times New Roman"/>
          <w:kern w:val="0"/>
          <w:sz w:val="22"/>
          <w:szCs w:val="22"/>
          <w14:ligatures w14:val="none"/>
        </w:rPr>
      </w:pPr>
      <w:r w:rsidRPr="00350235">
        <w:rPr>
          <w:rFonts w:eastAsia="Times New Roman" w:cs="Times New Roman"/>
          <w:kern w:val="0"/>
          <w:sz w:val="22"/>
          <w:szCs w:val="22"/>
          <w14:ligatures w14:val="none"/>
        </w:rPr>
        <w:t xml:space="preserve">Firms should ensure that all questions on the PRI are completed accurately. Leaving the APS question blank or answering it incorrectly may result in follow-up questions or administrative delays once additional AICPA guidance is issued. Instructions for </w:t>
      </w:r>
      <w:hyperlink r:id="rId12" w:history="1">
        <w:r w:rsidRPr="00350235">
          <w:rPr>
            <w:rStyle w:val="Hyperlink"/>
            <w:rFonts w:eastAsia="Times New Roman" w:cs="Times New Roman"/>
            <w:kern w:val="0"/>
            <w:sz w:val="22"/>
            <w:szCs w:val="22"/>
            <w14:ligatures w14:val="none"/>
          </w:rPr>
          <w:t>updating the PRI in PRIMA can be found here</w:t>
        </w:r>
      </w:hyperlink>
      <w:r>
        <w:rPr>
          <w:rFonts w:eastAsia="Times New Roman" w:cs="Times New Roman"/>
          <w:kern w:val="0"/>
          <w:sz w:val="22"/>
          <w:szCs w:val="22"/>
          <w14:ligatures w14:val="none"/>
        </w:rPr>
        <w:t xml:space="preserve">. </w:t>
      </w:r>
    </w:p>
    <w:p w14:paraId="05CB8998" w14:textId="77777777" w:rsidR="00B46CF5" w:rsidRDefault="00B46CF5" w:rsidP="00B46CF5">
      <w:pPr>
        <w:pStyle w:val="BodyText"/>
        <w:rPr>
          <w:rFonts w:eastAsia="Times New Roman" w:cs="Times New Roman"/>
          <w:b/>
          <w:bCs/>
          <w:kern w:val="0"/>
          <w:sz w:val="22"/>
          <w:szCs w:val="22"/>
          <w14:ligatures w14:val="none"/>
        </w:rPr>
      </w:pPr>
    </w:p>
    <w:p w14:paraId="5AC1662A" w14:textId="79DE2503" w:rsidR="00350235" w:rsidRDefault="00442C4E" w:rsidP="00B46CF5">
      <w:pPr>
        <w:pStyle w:val="BodyText"/>
        <w:rPr>
          <w:rFonts w:eastAsia="Times New Roman" w:cs="Times New Roman"/>
          <w:b/>
          <w:bCs/>
          <w:kern w:val="0"/>
          <w:sz w:val="22"/>
          <w:szCs w:val="22"/>
          <w14:ligatures w14:val="none"/>
        </w:rPr>
      </w:pPr>
      <w:r w:rsidRPr="00442C4E">
        <w:rPr>
          <w:rFonts w:eastAsia="Times New Roman" w:cs="Times New Roman"/>
          <w:b/>
          <w:bCs/>
          <w:kern w:val="0"/>
          <w:sz w:val="22"/>
          <w:szCs w:val="22"/>
          <w14:ligatures w14:val="none"/>
        </w:rPr>
        <w:t>Is there anything firms should do differently when completing their PRI?</w:t>
      </w:r>
    </w:p>
    <w:p w14:paraId="5F1BC01A" w14:textId="77777777" w:rsidR="00442C4E" w:rsidRDefault="00442C4E" w:rsidP="00442C4E">
      <w:pPr>
        <w:pStyle w:val="FirstParagraph"/>
        <w:rPr>
          <w:rFonts w:eastAsia="Times New Roman" w:cs="Times New Roman"/>
          <w:sz w:val="22"/>
          <w:szCs w:val="22"/>
        </w:rPr>
      </w:pPr>
      <w:r w:rsidRPr="00442C4E">
        <w:rPr>
          <w:rFonts w:eastAsia="Times New Roman" w:cs="Times New Roman"/>
          <w:sz w:val="22"/>
          <w:szCs w:val="22"/>
        </w:rPr>
        <w:t>Firms should carefully evaluate whether they qualify as an alternative practice structure and ensure that the APS question on the PRI is answered accurately and completely. The PRI also includes a specific question regarding private equity ownership, which firms should review carefully.</w:t>
      </w:r>
    </w:p>
    <w:p w14:paraId="1C0DF5C2" w14:textId="77777777" w:rsidR="00EE6CC1" w:rsidRDefault="00EE6CC1" w:rsidP="00442C4E">
      <w:pPr>
        <w:pStyle w:val="BodyText"/>
      </w:pPr>
    </w:p>
    <w:p w14:paraId="77F19156" w14:textId="77777777" w:rsidR="006C3E06" w:rsidRDefault="006C3E06" w:rsidP="00442C4E">
      <w:pPr>
        <w:pStyle w:val="BodyText"/>
      </w:pPr>
    </w:p>
    <w:p w14:paraId="7F4E12D1" w14:textId="77777777" w:rsidR="006C3E06" w:rsidRDefault="006C3E06" w:rsidP="00442C4E">
      <w:pPr>
        <w:pStyle w:val="BodyText"/>
      </w:pPr>
    </w:p>
    <w:p w14:paraId="1A4AE7BA" w14:textId="5200AAE1" w:rsidR="00EE6CC1" w:rsidRPr="00B47F7C" w:rsidRDefault="00EE6CC1" w:rsidP="00EE6CC1">
      <w:pPr>
        <w:pStyle w:val="FirstParagraph"/>
        <w:rPr>
          <w:rFonts w:ascii="Arial" w:hAnsi="Arial" w:cs="Arial"/>
          <w:sz w:val="22"/>
          <w:szCs w:val="22"/>
        </w:rPr>
      </w:pPr>
      <w:r w:rsidRPr="00EE6CC1">
        <w:rPr>
          <w:rFonts w:eastAsia="Times New Roman" w:cs="Times New Roman"/>
          <w:b/>
          <w:bCs/>
          <w:sz w:val="22"/>
          <w:szCs w:val="22"/>
        </w:rPr>
        <w:t xml:space="preserve">Important </w:t>
      </w:r>
      <w:r>
        <w:rPr>
          <w:rFonts w:eastAsia="Times New Roman" w:cs="Times New Roman"/>
          <w:b/>
          <w:bCs/>
          <w:sz w:val="22"/>
          <w:szCs w:val="22"/>
        </w:rPr>
        <w:t xml:space="preserve">Note: </w:t>
      </w:r>
      <w:r w:rsidRPr="00D83D58">
        <w:rPr>
          <w:rFonts w:ascii="Arial" w:hAnsi="Arial" w:cs="Arial"/>
          <w:sz w:val="22"/>
          <w:szCs w:val="22"/>
        </w:rPr>
        <w:br/>
      </w:r>
      <w:r w:rsidRPr="00EE6CC1">
        <w:rPr>
          <w:rFonts w:eastAsia="Times New Roman" w:cs="Times New Roman"/>
          <w:sz w:val="22"/>
          <w:szCs w:val="22"/>
        </w:rPr>
        <w:t>This FAQ is based on information currently available. The AICPA has indicated that it plans to release official guidance regarding this requirement; however, the timing of that communication has not yet been announced. Official AICPA guidance will govern final requirements and implementation. The OSCPA is closely monitoring this issue and will share additional updates as they become available.</w:t>
      </w:r>
    </w:p>
    <w:p w14:paraId="4B6BB630" w14:textId="77777777" w:rsidR="00442C4E" w:rsidRPr="00442C4E" w:rsidRDefault="00442C4E" w:rsidP="00442C4E">
      <w:pPr>
        <w:pStyle w:val="BodyText"/>
      </w:pPr>
    </w:p>
    <w:p w14:paraId="3EDF5F2F" w14:textId="77777777" w:rsidR="00350235" w:rsidRDefault="00350235" w:rsidP="00B46CF5">
      <w:pPr>
        <w:pStyle w:val="BodyText"/>
        <w:rPr>
          <w:rFonts w:eastAsia="Times New Roman" w:cs="Times New Roman"/>
          <w:b/>
          <w:bCs/>
          <w:kern w:val="0"/>
          <w:sz w:val="22"/>
          <w:szCs w:val="22"/>
          <w14:ligatures w14:val="none"/>
        </w:rPr>
      </w:pPr>
    </w:p>
    <w:p w14:paraId="126DEF1D" w14:textId="77777777" w:rsidR="00B46CF5" w:rsidRPr="00B46CF5" w:rsidRDefault="00B46CF5" w:rsidP="00B46CF5">
      <w:pPr>
        <w:pStyle w:val="BodyText"/>
        <w:rPr>
          <w:rFonts w:eastAsia="Times New Roman" w:cs="Times New Roman"/>
          <w:b/>
          <w:bCs/>
          <w:kern w:val="0"/>
          <w:sz w:val="22"/>
          <w:szCs w:val="22"/>
          <w14:ligatures w14:val="none"/>
        </w:rPr>
      </w:pPr>
    </w:p>
    <w:p w14:paraId="4DE4F35E" w14:textId="77777777" w:rsidR="00280600" w:rsidRPr="00280600" w:rsidRDefault="00280600" w:rsidP="00280600">
      <w:pPr>
        <w:pStyle w:val="BodyText"/>
        <w:rPr>
          <w:rFonts w:eastAsia="Times New Roman" w:cs="Times New Roman"/>
          <w:b/>
          <w:bCs/>
          <w:kern w:val="0"/>
          <w:sz w:val="22"/>
          <w:szCs w:val="22"/>
          <w14:ligatures w14:val="none"/>
        </w:rPr>
      </w:pPr>
    </w:p>
    <w:sectPr w:rsidR="00280600" w:rsidRPr="0028060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4EA2" w14:textId="77777777" w:rsidR="003C23BF" w:rsidRDefault="003C23BF" w:rsidP="009D6EB5">
      <w:pPr>
        <w:spacing w:after="0" w:line="240" w:lineRule="auto"/>
      </w:pPr>
      <w:r>
        <w:separator/>
      </w:r>
    </w:p>
  </w:endnote>
  <w:endnote w:type="continuationSeparator" w:id="0">
    <w:p w14:paraId="1387920E" w14:textId="77777777" w:rsidR="003C23BF" w:rsidRDefault="003C23BF" w:rsidP="009D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3005" w14:textId="77777777" w:rsidR="003C23BF" w:rsidRDefault="003C23BF" w:rsidP="009D6EB5">
      <w:pPr>
        <w:spacing w:after="0" w:line="240" w:lineRule="auto"/>
      </w:pPr>
      <w:r>
        <w:separator/>
      </w:r>
    </w:p>
  </w:footnote>
  <w:footnote w:type="continuationSeparator" w:id="0">
    <w:p w14:paraId="4B2214FA" w14:textId="77777777" w:rsidR="003C23BF" w:rsidRDefault="003C23BF" w:rsidP="009D6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BCEB" w14:textId="72ADC955" w:rsidR="009D6EB5" w:rsidRDefault="009D6EB5" w:rsidP="009D6EB5">
    <w:pPr>
      <w:pStyle w:val="Header"/>
      <w:jc w:val="both"/>
    </w:pPr>
    <w:r>
      <w:rPr>
        <w:noProof/>
      </w:rPr>
      <w:drawing>
        <wp:inline distT="0" distB="0" distL="0" distR="0" wp14:anchorId="1011C681" wp14:editId="7B7A48CF">
          <wp:extent cx="1877869" cy="643812"/>
          <wp:effectExtent l="0" t="0" r="1905" b="4445"/>
          <wp:docPr id="633706923"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06923" name="Picture 1" descr="A blu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5397" cy="670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260"/>
    <w:multiLevelType w:val="multilevel"/>
    <w:tmpl w:val="A5C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0836"/>
    <w:multiLevelType w:val="multilevel"/>
    <w:tmpl w:val="55B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15506"/>
    <w:multiLevelType w:val="multilevel"/>
    <w:tmpl w:val="25E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632C3"/>
    <w:multiLevelType w:val="multilevel"/>
    <w:tmpl w:val="3598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F453D"/>
    <w:multiLevelType w:val="hybridMultilevel"/>
    <w:tmpl w:val="94AC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1028"/>
    <w:multiLevelType w:val="hybridMultilevel"/>
    <w:tmpl w:val="B4386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94127"/>
    <w:multiLevelType w:val="hybridMultilevel"/>
    <w:tmpl w:val="5096F4D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EB43564"/>
    <w:multiLevelType w:val="multilevel"/>
    <w:tmpl w:val="DB9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A4CEB"/>
    <w:multiLevelType w:val="multilevel"/>
    <w:tmpl w:val="4296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B6E3D"/>
    <w:multiLevelType w:val="multilevel"/>
    <w:tmpl w:val="F6DC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05AC6"/>
    <w:multiLevelType w:val="multilevel"/>
    <w:tmpl w:val="4BD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928B5"/>
    <w:multiLevelType w:val="multilevel"/>
    <w:tmpl w:val="9E1A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64676">
    <w:abstractNumId w:val="2"/>
  </w:num>
  <w:num w:numId="2" w16cid:durableId="192890925">
    <w:abstractNumId w:val="0"/>
  </w:num>
  <w:num w:numId="3" w16cid:durableId="1683049871">
    <w:abstractNumId w:val="1"/>
  </w:num>
  <w:num w:numId="4" w16cid:durableId="1128858949">
    <w:abstractNumId w:val="7"/>
  </w:num>
  <w:num w:numId="5" w16cid:durableId="1075132277">
    <w:abstractNumId w:val="8"/>
  </w:num>
  <w:num w:numId="6" w16cid:durableId="981547242">
    <w:abstractNumId w:val="9"/>
  </w:num>
  <w:num w:numId="7" w16cid:durableId="1473402237">
    <w:abstractNumId w:val="3"/>
  </w:num>
  <w:num w:numId="8" w16cid:durableId="1868718355">
    <w:abstractNumId w:val="11"/>
  </w:num>
  <w:num w:numId="9" w16cid:durableId="1517311756">
    <w:abstractNumId w:val="10"/>
  </w:num>
  <w:num w:numId="10" w16cid:durableId="612055195">
    <w:abstractNumId w:val="5"/>
  </w:num>
  <w:num w:numId="11" w16cid:durableId="1937397683">
    <w:abstractNumId w:val="6"/>
  </w:num>
  <w:num w:numId="12" w16cid:durableId="1830486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B2"/>
    <w:rsid w:val="00006F29"/>
    <w:rsid w:val="0002692B"/>
    <w:rsid w:val="00061244"/>
    <w:rsid w:val="0007295A"/>
    <w:rsid w:val="00080214"/>
    <w:rsid w:val="000A1042"/>
    <w:rsid w:val="001546E8"/>
    <w:rsid w:val="0016433F"/>
    <w:rsid w:val="001F4E89"/>
    <w:rsid w:val="002744C1"/>
    <w:rsid w:val="00280600"/>
    <w:rsid w:val="002F63C3"/>
    <w:rsid w:val="00350235"/>
    <w:rsid w:val="003559F6"/>
    <w:rsid w:val="00375EB2"/>
    <w:rsid w:val="0038134A"/>
    <w:rsid w:val="003C0953"/>
    <w:rsid w:val="003C23BF"/>
    <w:rsid w:val="00442C4E"/>
    <w:rsid w:val="00445A5B"/>
    <w:rsid w:val="004B43E8"/>
    <w:rsid w:val="005201CD"/>
    <w:rsid w:val="005C758A"/>
    <w:rsid w:val="00635D66"/>
    <w:rsid w:val="006521DE"/>
    <w:rsid w:val="006C3E06"/>
    <w:rsid w:val="006C626F"/>
    <w:rsid w:val="007A1C5D"/>
    <w:rsid w:val="0081448A"/>
    <w:rsid w:val="008749FD"/>
    <w:rsid w:val="008F688D"/>
    <w:rsid w:val="009D6EB5"/>
    <w:rsid w:val="00A33BA5"/>
    <w:rsid w:val="00A47E1B"/>
    <w:rsid w:val="00B46CF5"/>
    <w:rsid w:val="00BD3259"/>
    <w:rsid w:val="00C0557E"/>
    <w:rsid w:val="00C749EB"/>
    <w:rsid w:val="00C911A2"/>
    <w:rsid w:val="00CE3DFE"/>
    <w:rsid w:val="00CF6D32"/>
    <w:rsid w:val="00D72A78"/>
    <w:rsid w:val="00D744ED"/>
    <w:rsid w:val="00D96798"/>
    <w:rsid w:val="00DE085C"/>
    <w:rsid w:val="00E259B9"/>
    <w:rsid w:val="00E2707E"/>
    <w:rsid w:val="00EE6CC1"/>
    <w:rsid w:val="00F2474D"/>
    <w:rsid w:val="00FB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F3078"/>
  <w15:chartTrackingRefBased/>
  <w15:docId w15:val="{8DDB2C61-22AA-E84C-8857-DB6955EB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5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5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5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5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EB2"/>
    <w:rPr>
      <w:rFonts w:eastAsiaTheme="majorEastAsia" w:cstheme="majorBidi"/>
      <w:color w:val="272727" w:themeColor="text1" w:themeTint="D8"/>
    </w:rPr>
  </w:style>
  <w:style w:type="paragraph" w:styleId="Title">
    <w:name w:val="Title"/>
    <w:basedOn w:val="Normal"/>
    <w:next w:val="Normal"/>
    <w:link w:val="TitleChar"/>
    <w:uiPriority w:val="10"/>
    <w:qFormat/>
    <w:rsid w:val="00375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EB2"/>
    <w:pPr>
      <w:spacing w:before="160"/>
      <w:jc w:val="center"/>
    </w:pPr>
    <w:rPr>
      <w:i/>
      <w:iCs/>
      <w:color w:val="404040" w:themeColor="text1" w:themeTint="BF"/>
    </w:rPr>
  </w:style>
  <w:style w:type="character" w:customStyle="1" w:styleId="QuoteChar">
    <w:name w:val="Quote Char"/>
    <w:basedOn w:val="DefaultParagraphFont"/>
    <w:link w:val="Quote"/>
    <w:uiPriority w:val="29"/>
    <w:rsid w:val="00375EB2"/>
    <w:rPr>
      <w:i/>
      <w:iCs/>
      <w:color w:val="404040" w:themeColor="text1" w:themeTint="BF"/>
    </w:rPr>
  </w:style>
  <w:style w:type="paragraph" w:styleId="ListParagraph">
    <w:name w:val="List Paragraph"/>
    <w:basedOn w:val="Normal"/>
    <w:uiPriority w:val="34"/>
    <w:qFormat/>
    <w:rsid w:val="00375EB2"/>
    <w:pPr>
      <w:ind w:left="720"/>
      <w:contextualSpacing/>
    </w:pPr>
  </w:style>
  <w:style w:type="character" w:styleId="IntenseEmphasis">
    <w:name w:val="Intense Emphasis"/>
    <w:basedOn w:val="DefaultParagraphFont"/>
    <w:uiPriority w:val="21"/>
    <w:qFormat/>
    <w:rsid w:val="00375EB2"/>
    <w:rPr>
      <w:i/>
      <w:iCs/>
      <w:color w:val="0F4761" w:themeColor="accent1" w:themeShade="BF"/>
    </w:rPr>
  </w:style>
  <w:style w:type="paragraph" w:styleId="IntenseQuote">
    <w:name w:val="Intense Quote"/>
    <w:basedOn w:val="Normal"/>
    <w:next w:val="Normal"/>
    <w:link w:val="IntenseQuoteChar"/>
    <w:uiPriority w:val="30"/>
    <w:qFormat/>
    <w:rsid w:val="00375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EB2"/>
    <w:rPr>
      <w:i/>
      <w:iCs/>
      <w:color w:val="0F4761" w:themeColor="accent1" w:themeShade="BF"/>
    </w:rPr>
  </w:style>
  <w:style w:type="character" w:styleId="IntenseReference">
    <w:name w:val="Intense Reference"/>
    <w:basedOn w:val="DefaultParagraphFont"/>
    <w:uiPriority w:val="32"/>
    <w:qFormat/>
    <w:rsid w:val="00375EB2"/>
    <w:rPr>
      <w:b/>
      <w:bCs/>
      <w:smallCaps/>
      <w:color w:val="0F4761" w:themeColor="accent1" w:themeShade="BF"/>
      <w:spacing w:val="5"/>
    </w:rPr>
  </w:style>
  <w:style w:type="paragraph" w:styleId="NormalWeb">
    <w:name w:val="Normal (Web)"/>
    <w:basedOn w:val="Normal"/>
    <w:uiPriority w:val="99"/>
    <w:semiHidden/>
    <w:unhideWhenUsed/>
    <w:rsid w:val="00375E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5EB2"/>
    <w:rPr>
      <w:b/>
      <w:bCs/>
    </w:rPr>
  </w:style>
  <w:style w:type="character" w:styleId="Emphasis">
    <w:name w:val="Emphasis"/>
    <w:basedOn w:val="DefaultParagraphFont"/>
    <w:uiPriority w:val="20"/>
    <w:qFormat/>
    <w:rsid w:val="00375EB2"/>
    <w:rPr>
      <w:i/>
      <w:iCs/>
    </w:rPr>
  </w:style>
  <w:style w:type="paragraph" w:styleId="Header">
    <w:name w:val="header"/>
    <w:basedOn w:val="Normal"/>
    <w:link w:val="HeaderChar"/>
    <w:uiPriority w:val="99"/>
    <w:unhideWhenUsed/>
    <w:rsid w:val="009D6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B5"/>
  </w:style>
  <w:style w:type="paragraph" w:styleId="Footer">
    <w:name w:val="footer"/>
    <w:basedOn w:val="Normal"/>
    <w:link w:val="FooterChar"/>
    <w:uiPriority w:val="99"/>
    <w:unhideWhenUsed/>
    <w:rsid w:val="009D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B5"/>
  </w:style>
  <w:style w:type="character" w:styleId="Hyperlink">
    <w:name w:val="Hyperlink"/>
    <w:basedOn w:val="DefaultParagraphFont"/>
    <w:uiPriority w:val="99"/>
    <w:unhideWhenUsed/>
    <w:rsid w:val="0081448A"/>
    <w:rPr>
      <w:color w:val="467886" w:themeColor="hyperlink"/>
      <w:u w:val="single"/>
    </w:rPr>
  </w:style>
  <w:style w:type="character" w:styleId="UnresolvedMention">
    <w:name w:val="Unresolved Mention"/>
    <w:basedOn w:val="DefaultParagraphFont"/>
    <w:uiPriority w:val="99"/>
    <w:semiHidden/>
    <w:unhideWhenUsed/>
    <w:rsid w:val="0081448A"/>
    <w:rPr>
      <w:color w:val="605E5C"/>
      <w:shd w:val="clear" w:color="auto" w:fill="E1DFDD"/>
    </w:rPr>
  </w:style>
  <w:style w:type="paragraph" w:customStyle="1" w:styleId="FirstParagraph">
    <w:name w:val="First Paragraph"/>
    <w:basedOn w:val="BodyText"/>
    <w:next w:val="BodyText"/>
    <w:qFormat/>
    <w:rsid w:val="00280600"/>
    <w:pPr>
      <w:spacing w:before="180" w:after="180" w:line="240" w:lineRule="auto"/>
    </w:pPr>
    <w:rPr>
      <w:kern w:val="0"/>
      <w14:ligatures w14:val="none"/>
    </w:rPr>
  </w:style>
  <w:style w:type="paragraph" w:styleId="BodyText">
    <w:name w:val="Body Text"/>
    <w:basedOn w:val="Normal"/>
    <w:link w:val="BodyTextChar"/>
    <w:uiPriority w:val="99"/>
    <w:semiHidden/>
    <w:unhideWhenUsed/>
    <w:rsid w:val="00280600"/>
    <w:pPr>
      <w:spacing w:after="120"/>
    </w:pPr>
  </w:style>
  <w:style w:type="character" w:customStyle="1" w:styleId="BodyTextChar">
    <w:name w:val="Body Text Char"/>
    <w:basedOn w:val="DefaultParagraphFont"/>
    <w:link w:val="BodyText"/>
    <w:uiPriority w:val="99"/>
    <w:semiHidden/>
    <w:rsid w:val="0028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aicpa.org/prweb/sso/help/Administrator%20Helpsite/article/KC-18517/Updating-Peer-Review-Information-%28PRI%29-%28Firm%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support@aicp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icpa-cima.com/resources/download/ethics-APS-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6E1930148B641B8494F07900DE84F" ma:contentTypeVersion="19" ma:contentTypeDescription="Create a new document." ma:contentTypeScope="" ma:versionID="036a5d142fd9bcd00bd2bacb3e68d02b">
  <xsd:schema xmlns:xsd="http://www.w3.org/2001/XMLSchema" xmlns:xs="http://www.w3.org/2001/XMLSchema" xmlns:p="http://schemas.microsoft.com/office/2006/metadata/properties" xmlns:ns2="9a86cdd7-a734-4161-b53e-4931f42ed244" xmlns:ns3="5f3cdbdf-a02b-44d7-b6e6-bf5a7a778f5a" targetNamespace="http://schemas.microsoft.com/office/2006/metadata/properties" ma:root="true" ma:fieldsID="35442a7676e4290df03c9620ba45983f" ns2:_="" ns3:_="">
    <xsd:import namespace="9a86cdd7-a734-4161-b53e-4931f42ed244"/>
    <xsd:import namespace="5f3cdbdf-a02b-44d7-b6e6-bf5a7a778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6cdd7-a734-4161-b53e-4931f42e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47b4b8-2e9c-40e7-a66e-941f1df315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cdbdf-a02b-44d7-b6e6-bf5a7a778f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163e0a-567c-4172-b736-5d315bc293d5}" ma:internalName="TaxCatchAll" ma:showField="CatchAllData" ma:web="5f3cdbdf-a02b-44d7-b6e6-bf5a7a77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3cdbdf-a02b-44d7-b6e6-bf5a7a778f5a" xsi:nil="true"/>
    <lcf76f155ced4ddcb4097134ff3c332f xmlns="9a86cdd7-a734-4161-b53e-4931f42ed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7B6C3-5432-45A3-9F06-C10A6833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6cdd7-a734-4161-b53e-4931f42ed244"/>
    <ds:schemaRef ds:uri="5f3cdbdf-a02b-44d7-b6e6-bf5a7a778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B98F8-BD2C-4F21-A8A2-63CB3B279A5D}">
  <ds:schemaRefs>
    <ds:schemaRef ds:uri="http://schemas.microsoft.com/sharepoint/v3/contenttype/forms"/>
  </ds:schemaRefs>
</ds:datastoreItem>
</file>

<file path=customXml/itemProps3.xml><?xml version="1.0" encoding="utf-8"?>
<ds:datastoreItem xmlns:ds="http://schemas.openxmlformats.org/officeDocument/2006/customXml" ds:itemID="{6EAC5472-A603-4678-A59A-9F41BC6F335E}">
  <ds:schemaRefs>
    <ds:schemaRef ds:uri="http://schemas.microsoft.com/office/2006/metadata/properties"/>
    <ds:schemaRef ds:uri="http://schemas.microsoft.com/office/infopath/2007/PartnerControls"/>
    <ds:schemaRef ds:uri="5f3cdbdf-a02b-44d7-b6e6-bf5a7a778f5a"/>
    <ds:schemaRef ds:uri="9a86cdd7-a734-4161-b53e-4931f42ed244"/>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680</Words>
  <Characters>3750</Characters>
  <Application>Microsoft Office Word</Application>
  <DocSecurity>0</DocSecurity>
  <Lines>78</Lines>
  <Paragraphs>39</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Lowmiller</dc:creator>
  <cp:keywords/>
  <dc:description/>
  <cp:lastModifiedBy>Tracie Lowmiller</cp:lastModifiedBy>
  <cp:revision>43</cp:revision>
  <dcterms:created xsi:type="dcterms:W3CDTF">2025-12-30T22:39:00Z</dcterms:created>
  <dcterms:modified xsi:type="dcterms:W3CDTF">2026-02-19T21:26:00Z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0x0101007E56E1930148B641B8494F07900DE84F</vt:lpwstr>
  </property>
  <property fmtid="{D5CDD505-2E9C-101B-9397-08002B2CF9AE}" pid="3" name="MediaServiceImageTags">
    <vt:lpwstr/>
  </property>
</Properties>
</file>